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96" w:rsidRPr="00945CCF" w:rsidRDefault="00CE18DB" w:rsidP="00AE0896">
      <w:pPr>
        <w:jc w:val="right"/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</w:pPr>
      <w:bookmarkStart w:id="0" w:name="_GoBack"/>
      <w:bookmarkEnd w:id="0"/>
      <w:r w:rsidRPr="00945CCF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 xml:space="preserve">ANEXA </w:t>
      </w:r>
      <w:r w:rsidR="003A1743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>5</w:t>
      </w:r>
      <w:r w:rsidR="003A1743" w:rsidRPr="00945CCF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 xml:space="preserve"> </w:t>
      </w:r>
      <w:r w:rsidR="00AE0896" w:rsidRPr="00945CCF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>bis</w:t>
      </w:r>
    </w:p>
    <w:p w:rsidR="00AE0896" w:rsidRPr="00945CCF" w:rsidRDefault="00AE0896" w:rsidP="00AE0896">
      <w:pPr>
        <w:jc w:val="right"/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</w:pPr>
    </w:p>
    <w:p w:rsidR="00AE0896" w:rsidRPr="00945CCF" w:rsidRDefault="00CE18DB" w:rsidP="00AE0896">
      <w:pPr>
        <w:jc w:val="right"/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 xml:space="preserve"> </w:t>
      </w:r>
    </w:p>
    <w:p w:rsidR="00CE18DB" w:rsidRPr="00945CCF" w:rsidRDefault="00CE18DB" w:rsidP="00AE0896">
      <w:pPr>
        <w:jc w:val="center"/>
        <w:rPr>
          <w:rFonts w:ascii="Times New Roman" w:eastAsia="Times New Roman" w:hAnsi="Times New Roman"/>
          <w:b/>
          <w:color w:val="244061" w:themeColor="accent1" w:themeShade="80"/>
          <w:lang w:val="ro-RO"/>
        </w:rPr>
      </w:pPr>
      <w:r w:rsidRPr="00945CCF"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  <w:t>LISTA DOMENIILOR SI SUBDOMENIILOR DE SPECIALIZARE INTELIGENTA SI SANATATE</w:t>
      </w:r>
    </w:p>
    <w:p w:rsidR="00CE18DB" w:rsidRPr="00945CCF" w:rsidRDefault="00CE18DB" w:rsidP="00CE18DB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244061" w:themeColor="accent1" w:themeShade="80"/>
          <w:sz w:val="24"/>
          <w:lang w:val="ro-RO"/>
        </w:rPr>
      </w:pPr>
    </w:p>
    <w:p w:rsidR="00AE0896" w:rsidRPr="00945CCF" w:rsidRDefault="00AE0896" w:rsidP="00AE0896">
      <w:pPr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</w:p>
    <w:p w:rsidR="00CE18DB" w:rsidRPr="00945CCF" w:rsidRDefault="00CE18DB" w:rsidP="00CE18D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BIOECONOMIE</w:t>
      </w:r>
    </w:p>
    <w:p w:rsidR="00CE18DB" w:rsidRPr="00945CCF" w:rsidRDefault="00CE18DB" w:rsidP="00CE18D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Agro-alimentare</w:t>
      </w:r>
    </w:p>
    <w:p w:rsidR="00CE18DB" w:rsidRPr="00945CCF" w:rsidRDefault="00CE18DB" w:rsidP="00CE18DB">
      <w:pPr>
        <w:pStyle w:val="ListParagraph"/>
        <w:ind w:left="1080" w:hanging="371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1.1.1. Produse alimentare sigure, accesibile şi optimizate nutrițional</w:t>
      </w:r>
    </w:p>
    <w:p w:rsidR="00CE18DB" w:rsidRPr="00945CCF" w:rsidRDefault="00CE18DB" w:rsidP="00CE18DB">
      <w:pPr>
        <w:pStyle w:val="ListParagraph"/>
        <w:ind w:left="1080" w:hanging="371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1.1.2. Dezvoltarea de noi produse, practici, procese şi tehnologii în sectorul horticol </w:t>
      </w:r>
    </w:p>
    <w:p w:rsidR="00CE18DB" w:rsidRPr="00945CCF" w:rsidRDefault="00CE18DB" w:rsidP="00CE18DB">
      <w:pPr>
        <w:pStyle w:val="ListParagraph"/>
        <w:ind w:left="1080" w:hanging="371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1.1.3. Adaptarea sectorului de zootehnie, medicină veterinară, pescuit, acvacultură şi sericicultură, la provocările secolului XXI</w:t>
      </w:r>
    </w:p>
    <w:p w:rsidR="00CE18DB" w:rsidRPr="00945CCF" w:rsidRDefault="00CE18DB" w:rsidP="00CE18DB">
      <w:pPr>
        <w:pStyle w:val="ListParagraph"/>
        <w:ind w:left="1080" w:hanging="371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1.1.4.  Dezvoltarea durabilă a sectorului forestier, creşterea competitivității acestuia şi a calităţii vieții</w:t>
      </w:r>
    </w:p>
    <w:p w:rsidR="00CE18DB" w:rsidRPr="00945CCF" w:rsidRDefault="00CE18DB" w:rsidP="00CE18DB">
      <w:pPr>
        <w:pStyle w:val="ListParagraph"/>
        <w:ind w:left="1080" w:hanging="371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1.1.5. Dezvoltarea durabilă a producției culturilor de câmp adaptate impactului schimbărilor climatice globale</w:t>
      </w:r>
    </w:p>
    <w:p w:rsidR="00CE18DB" w:rsidRPr="00945CCF" w:rsidRDefault="00CE18DB" w:rsidP="00CE18D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Bioenergie – biogaz, biomasă, biocombustibil </w:t>
      </w:r>
    </w:p>
    <w:p w:rsidR="00CE18DB" w:rsidRPr="00945CCF" w:rsidRDefault="00CE18DB" w:rsidP="00CE18D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Biotehnologii 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Bionanotehnologii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Biotehnologii de mediu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Biotehnologii agro-alimentare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Biotehnologii industriale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Biotehnologii medicale şi farmaceutice</w:t>
      </w:r>
    </w:p>
    <w:p w:rsidR="00CE18DB" w:rsidRPr="00945CCF" w:rsidRDefault="00CE18DB" w:rsidP="00CE18DB"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Bioanaliza</w:t>
      </w:r>
    </w:p>
    <w:p w:rsidR="00CE18DB" w:rsidRPr="00945CCF" w:rsidRDefault="00CE18DB" w:rsidP="00CE18D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Știința medicamentului</w:t>
      </w:r>
    </w:p>
    <w:p w:rsidR="00CE18DB" w:rsidRPr="00945CCF" w:rsidRDefault="00CE18DB" w:rsidP="00CE18DB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Evaluarea in vitro/ in vivo în procesul de proiectare a medicamentelor generice</w:t>
      </w:r>
    </w:p>
    <w:p w:rsidR="00CE18DB" w:rsidRPr="00945CCF" w:rsidRDefault="00CE18DB" w:rsidP="00CE18DB">
      <w:pPr>
        <w:pStyle w:val="ListParagraph"/>
        <w:numPr>
          <w:ilvl w:val="2"/>
          <w:numId w:val="2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Modelarea matematică pentru corelarea datelor in vitro cu cele in vivo, în vederea dezvoltării de metode alternative, biorelevante, la metodele in vivo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1.4.3 Forme farmaceutice cu acțiune sistemică, locală şi de transport la țintă şi tehnologiile aferente, pentru optimizarea profilului biofarmaceutic şi farmacocinetic</w:t>
      </w:r>
    </w:p>
    <w:p w:rsidR="00CE18DB" w:rsidRPr="00945CCF" w:rsidRDefault="00CE18DB" w:rsidP="00CE18DB">
      <w:pPr>
        <w:pStyle w:val="ListParagraph"/>
        <w:ind w:left="0" w:firstLine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1.4.4 Design molecular (bio)sinteză, semi-sinteză, screening de înaltă performanţă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1.4.5 Biodiversitatea și abordarea holistică a interrelației microorganismelor cu mediul, animalele și omul.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1.4.6 Monitorizarea răspândirii transfrontaliere a microorganismelor înalt patogene cu potențial de răspândire în masă.</w:t>
      </w:r>
    </w:p>
    <w:p w:rsidR="00CE18DB" w:rsidRPr="00945CCF" w:rsidRDefault="00CE18DB" w:rsidP="00CE18DB">
      <w:pPr>
        <w:pStyle w:val="ListParagraph"/>
        <w:ind w:left="144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2. TEHNOLOGII INFORMATIONALE ŞI DE COMUNICATII, SPAȚIU ȘI SECURITATE</w:t>
      </w:r>
    </w:p>
    <w:p w:rsidR="00CE18DB" w:rsidRPr="00945CCF" w:rsidRDefault="00CE18DB" w:rsidP="00CE18DB">
      <w:pPr>
        <w:ind w:firstLine="426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2.1.Tehnologii informaționale și de comunicații</w:t>
      </w:r>
    </w:p>
    <w:p w:rsidR="00CE18DB" w:rsidRPr="00945CCF" w:rsidRDefault="00CE18DB" w:rsidP="00CE18DB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Analiza, managementul şi securitatea datelor de mari dimensiuni</w:t>
      </w:r>
    </w:p>
    <w:p w:rsidR="00CE18DB" w:rsidRPr="00945CCF" w:rsidRDefault="00CE18DB" w:rsidP="00CE18DB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Internetul viitorului</w:t>
      </w:r>
    </w:p>
    <w:p w:rsidR="00CE18DB" w:rsidRPr="00945CCF" w:rsidRDefault="00CE18DB" w:rsidP="00CE18DB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Tehnologii, instrumente și metode pentru dezvoltarea de software</w:t>
      </w:r>
    </w:p>
    <w:p w:rsidR="00CE18DB" w:rsidRPr="00945CCF" w:rsidRDefault="00CE18DB" w:rsidP="00CE18DB">
      <w:pPr>
        <w:pStyle w:val="ListParagraph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Calcule de înaltă performanță și noi modele computaționale</w:t>
      </w:r>
    </w:p>
    <w:p w:rsidR="00CE18DB" w:rsidRPr="00945CCF" w:rsidRDefault="00CE18DB" w:rsidP="00CE18DB">
      <w:pPr>
        <w:ind w:firstLine="426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2.2. Spațiu</w:t>
      </w:r>
    </w:p>
    <w:p w:rsidR="00CE18DB" w:rsidRPr="00945CCF" w:rsidRDefault="00CE18DB" w:rsidP="00CE18DB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bCs/>
          <w:noProof/>
          <w:color w:val="244061" w:themeColor="accent1" w:themeShade="80"/>
          <w:sz w:val="24"/>
          <w:szCs w:val="24"/>
          <w:lang w:val="ro-RO"/>
        </w:rPr>
        <w:lastRenderedPageBreak/>
        <w:t>Aplicaţii spaţiale dedicate (Observarea Terrei, GNSS, Satcom)</w:t>
      </w:r>
    </w:p>
    <w:p w:rsidR="00CE18DB" w:rsidRPr="00945CCF" w:rsidRDefault="00CE18DB" w:rsidP="00CE18DB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Aplicații spațiale integrate</w:t>
      </w:r>
    </w:p>
    <w:p w:rsidR="00CE18DB" w:rsidRPr="00945CCF" w:rsidRDefault="00CE18DB" w:rsidP="00CE18DB">
      <w:pPr>
        <w:pStyle w:val="ListParagraph"/>
        <w:spacing w:after="0" w:line="240" w:lineRule="auto"/>
        <w:ind w:left="1572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ind w:firstLine="426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2.3.  Securitate</w:t>
      </w:r>
    </w:p>
    <w:p w:rsidR="00CE18DB" w:rsidRPr="00945CCF" w:rsidRDefault="00CE18DB" w:rsidP="00CE18DB">
      <w:pPr>
        <w:pStyle w:val="ListParagraph"/>
        <w:numPr>
          <w:ilvl w:val="2"/>
          <w:numId w:val="5"/>
        </w:numPr>
        <w:spacing w:before="120" w:after="0" w:line="23" w:lineRule="atLeast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Metode şi tehnologii inovative pentru combaterea transfrontalieră a terorismului, crimei organizate, traficului ilegal de bunuri şi persoane</w:t>
      </w:r>
    </w:p>
    <w:p w:rsidR="00CE18DB" w:rsidRPr="00945CCF" w:rsidRDefault="00CE18DB" w:rsidP="00CE18DB">
      <w:pPr>
        <w:pStyle w:val="ListParagraph"/>
        <w:numPr>
          <w:ilvl w:val="1"/>
          <w:numId w:val="6"/>
        </w:numPr>
        <w:spacing w:before="120" w:after="0" w:line="23" w:lineRule="atLeast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Cercetare în domeniile electronică, mecanică, fotonică, ICT, sisteme inteligente, nanotehnologie pentru dezvoltarea de echipamente de securitate</w:t>
      </w:r>
    </w:p>
    <w:p w:rsidR="00CE18DB" w:rsidRPr="00945CCF" w:rsidRDefault="00CE18DB" w:rsidP="00CE18DB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Evaluarea şi reducerea riscului la dezastre – (modelarea şi simularea dinamicii sistemelor generatoare de hazard; dezvoltarea tehnicilor de monitorizare şi cartare interactive; optimizarea sistemelor rapide de evaluare şi luare a deciziei; dezvoltarea sistemelor suport de decizie în vederea integrării in reţelele europene; dezvoltarea unor soluţii inovative de protecție antiseismică, eficiente, funcționale şi economice pentru zonele seismice din România)</w:t>
      </w:r>
    </w:p>
    <w:p w:rsidR="00CE18DB" w:rsidRPr="00945CCF" w:rsidRDefault="00CE18DB" w:rsidP="00CE18DB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Infrastructuri si servicii critice (creşterea rezilienţei si reducerii vulnerabilităţii sistemelor „Smart-Grid”; protecția sistemelor de control industrial; securitatea informatică a infrastructurilor şi serviciilor critice; sistemele de intelligence)</w:t>
      </w:r>
    </w:p>
    <w:p w:rsidR="00CE18DB" w:rsidRPr="00945CCF" w:rsidRDefault="00CE18DB" w:rsidP="00CE18DB">
      <w:pPr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OBSERVAȚIE:</w:t>
      </w:r>
    </w:p>
    <w:p w:rsidR="00CE18DB" w:rsidRPr="00945CCF" w:rsidRDefault="00CE18DB" w:rsidP="00CE18DB">
      <w:pPr>
        <w:ind w:left="360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Pentru proiectele de cercetare cu dublă utilizare evaluarea propunerilor va aprecia preponderent cazul aplicațiilor civile.</w:t>
      </w:r>
    </w:p>
    <w:p w:rsidR="00CE18DB" w:rsidRPr="00945CCF" w:rsidRDefault="00CE18DB" w:rsidP="00CE18DB">
      <w:pPr>
        <w:tabs>
          <w:tab w:val="left" w:pos="3736"/>
        </w:tabs>
        <w:ind w:left="720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</w:p>
    <w:p w:rsidR="00CE18DB" w:rsidRPr="00945CCF" w:rsidRDefault="00CE18DB" w:rsidP="00CE18DB">
      <w:pPr>
        <w:tabs>
          <w:tab w:val="left" w:pos="3736"/>
        </w:tabs>
        <w:ind w:left="720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</w:p>
    <w:p w:rsidR="00CE18DB" w:rsidRPr="00945CCF" w:rsidRDefault="00CE18DB" w:rsidP="00CE18DB">
      <w:pPr>
        <w:tabs>
          <w:tab w:val="left" w:pos="3736"/>
        </w:tabs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3. ENERGIE, MEDIU ŞI SCHIMBĂRI CLIMATICE</w:t>
      </w: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ab/>
      </w:r>
    </w:p>
    <w:p w:rsidR="00CE18DB" w:rsidRPr="00945CCF" w:rsidRDefault="00CE18DB" w:rsidP="00CE18DB">
      <w:pPr>
        <w:ind w:firstLine="425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3.1. Energie</w:t>
      </w:r>
    </w:p>
    <w:p w:rsidR="00CE18DB" w:rsidRPr="00945CCF" w:rsidRDefault="00CE18DB" w:rsidP="00CE18DB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Creşterea eficientei energetice la generare, transport  şi distributie şi la consumator</w:t>
      </w:r>
    </w:p>
    <w:p w:rsidR="00CE18DB" w:rsidRPr="00945CCF" w:rsidRDefault="00CE18DB" w:rsidP="00CE18DB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Resurse energetice convenţionale, neconvenţionale şi regenerabile</w:t>
      </w:r>
    </w:p>
    <w:p w:rsidR="00CE18DB" w:rsidRPr="00945CCF" w:rsidRDefault="00CE18DB" w:rsidP="00CE18DB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bCs/>
          <w:noProof/>
          <w:color w:val="244061" w:themeColor="accent1" w:themeShade="80"/>
          <w:sz w:val="24"/>
          <w:szCs w:val="24"/>
          <w:lang w:val="ro-RO"/>
        </w:rPr>
        <w:t>Tehnologii inovative de stocare a energiei</w:t>
      </w:r>
    </w:p>
    <w:p w:rsidR="00CE18DB" w:rsidRPr="00945CCF" w:rsidRDefault="00CE18DB" w:rsidP="00CE18DB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Tehnologii  curate de producere a energiei pe baza combustibililor fosili</w:t>
      </w:r>
    </w:p>
    <w:p w:rsidR="00CE18DB" w:rsidRPr="00945CCF" w:rsidRDefault="00CE18DB" w:rsidP="00CE18DB">
      <w:pPr>
        <w:pStyle w:val="ListParagraph"/>
        <w:numPr>
          <w:ilvl w:val="2"/>
          <w:numId w:val="7"/>
        </w:numPr>
        <w:spacing w:after="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Instalații energetice de generație nouă </w:t>
      </w:r>
    </w:p>
    <w:p w:rsidR="00CE18DB" w:rsidRPr="00945CCF" w:rsidRDefault="00CE18DB" w:rsidP="00CE18DB">
      <w:pPr>
        <w:ind w:firstLine="425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3.2. Mediu și schimbări climatice</w:t>
      </w:r>
    </w:p>
    <w:p w:rsidR="00CE18DB" w:rsidRPr="00945CCF" w:rsidRDefault="00CE18DB" w:rsidP="00CE18DB">
      <w:pPr>
        <w:pStyle w:val="ListParagraph"/>
        <w:numPr>
          <w:ilvl w:val="2"/>
          <w:numId w:val="8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Utilizarea optimă a resurselor convenționale şi neconvenționale de apă</w:t>
      </w:r>
    </w:p>
    <w:p w:rsidR="00CE18DB" w:rsidRPr="00945CCF" w:rsidRDefault="00CE18DB" w:rsidP="00CE18DB">
      <w:pPr>
        <w:pStyle w:val="ListParagraph"/>
        <w:numPr>
          <w:ilvl w:val="2"/>
          <w:numId w:val="8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Gestionarea riscului indus de schimbările climatice asupra resurselor </w:t>
      </w:r>
    </w:p>
    <w:p w:rsidR="00CE18DB" w:rsidRPr="00945CCF" w:rsidRDefault="00CE18DB" w:rsidP="00CE18DB">
      <w:pPr>
        <w:ind w:left="720" w:hanging="295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3.3. Sisteme inteligente</w:t>
      </w:r>
    </w:p>
    <w:p w:rsidR="00CE18DB" w:rsidRPr="00945CCF" w:rsidRDefault="00CE18DB" w:rsidP="00CE18DB">
      <w:pPr>
        <w:pStyle w:val="ListParagraph"/>
        <w:ind w:left="0" w:firstLine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3.3.1  Oraşul inteligent</w:t>
      </w:r>
    </w:p>
    <w:p w:rsidR="00CE18DB" w:rsidRPr="00945CCF" w:rsidRDefault="00CE18DB" w:rsidP="00CE18DB">
      <w:pPr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4. ECO-NANO-TEHNOLOGII ȘI MATERIALE AVANSATE</w:t>
      </w:r>
    </w:p>
    <w:p w:rsidR="00CE18DB" w:rsidRPr="00945CCF" w:rsidRDefault="00CE18DB" w:rsidP="00CE18DB">
      <w:pPr>
        <w:ind w:firstLine="426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4.1. Echipamente de transport</w:t>
      </w:r>
    </w:p>
    <w:p w:rsidR="00CE18DB" w:rsidRPr="00945CCF" w:rsidRDefault="00CE18DB" w:rsidP="00CE18DB">
      <w:pPr>
        <w:pStyle w:val="ListParagraph"/>
        <w:numPr>
          <w:ilvl w:val="2"/>
          <w:numId w:val="9"/>
        </w:numPr>
        <w:ind w:left="0" w:firstLine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Noi generații de vehicule şi tehnologii ecologice şi eficiente energetic</w:t>
      </w:r>
    </w:p>
    <w:p w:rsidR="00CE18DB" w:rsidRPr="00945CCF" w:rsidRDefault="00CE18DB" w:rsidP="00CE18DB">
      <w:pPr>
        <w:ind w:firstLine="426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4.2 Echipamente pt producerea de bioresurse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4.2.1 Tehnologii, echipamente şi sisteme tehnice pentru producția de bioresurse</w:t>
      </w:r>
    </w:p>
    <w:p w:rsidR="00CE18DB" w:rsidRPr="00945CCF" w:rsidRDefault="00CE18DB" w:rsidP="00CE18DB">
      <w:pPr>
        <w:ind w:firstLine="425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4.3. Tehnologii de depoluare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4.3.1 Tehnologii de depoluare şi valorificare a deşeurilor </w:t>
      </w:r>
    </w:p>
    <w:p w:rsidR="00CE18DB" w:rsidRPr="00945CCF" w:rsidRDefault="00CE18DB" w:rsidP="00CE18DB">
      <w:pPr>
        <w:ind w:left="720" w:hanging="294"/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4.4. Materiale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lastRenderedPageBreak/>
        <w:t>4.4.1 Substituția materialelor critice şi creşterea duratei de funcționare a materialelor prin acoperiri funcționale</w:t>
      </w:r>
    </w:p>
    <w:p w:rsidR="00CE18DB" w:rsidRPr="00945CCF" w:rsidRDefault="00CE18DB" w:rsidP="00CE18DB">
      <w:pPr>
        <w:pStyle w:val="ListParagraph"/>
        <w:ind w:left="0" w:firstLine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4.4.2 Materiale polimerice, nanomateriale, nanotehnologii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4.4.3 Materiale și tehnologii pentru sănătate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4.4.4 Materiale pentru energie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4.4.5 Materiale pentru dezvoltarea infrastructurii, construcțiilor și mijloacelor de transport</w:t>
      </w:r>
    </w:p>
    <w:p w:rsidR="00CE18DB" w:rsidRPr="00945CCF" w:rsidRDefault="00CE18DB" w:rsidP="00CE18DB">
      <w:pPr>
        <w:pStyle w:val="ListParagraph"/>
        <w:ind w:left="360" w:firstLine="360"/>
        <w:jc w:val="both"/>
        <w:rPr>
          <w:rFonts w:ascii="Times New Roman" w:eastAsia="Calibri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eastAsia="Calibri" w:hAnsi="Times New Roman"/>
          <w:noProof/>
          <w:color w:val="244061" w:themeColor="accent1" w:themeShade="80"/>
          <w:sz w:val="24"/>
          <w:szCs w:val="24"/>
          <w:lang w:val="ro-RO"/>
        </w:rPr>
        <w:t>4.4.6 Materiale avansate si tehnologii destinate aplicațiilor de nișă ale economiei</w:t>
      </w:r>
    </w:p>
    <w:p w:rsidR="00CE18DB" w:rsidRPr="00945CCF" w:rsidRDefault="00CE18DB" w:rsidP="00CE18DB">
      <w:pPr>
        <w:rPr>
          <w:rFonts w:ascii="Times New Roman" w:eastAsia="Times New Roman" w:hAnsi="Times New Roman"/>
          <w:noProof/>
          <w:color w:val="244061" w:themeColor="accent1" w:themeShade="80"/>
          <w:sz w:val="24"/>
          <w:lang w:val="ro-RO"/>
        </w:rPr>
      </w:pPr>
    </w:p>
    <w:p w:rsidR="00CE18DB" w:rsidRPr="00945CCF" w:rsidRDefault="00CE18DB" w:rsidP="00CE18DB">
      <w:pPr>
        <w:jc w:val="both"/>
        <w:rPr>
          <w:rFonts w:ascii="Times New Roman" w:hAnsi="Times New Roman"/>
          <w:noProof/>
          <w:color w:val="244061" w:themeColor="accent1" w:themeShade="80"/>
          <w:sz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lang w:val="ro-RO"/>
        </w:rPr>
        <w:t>5. SĂNĂTATE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5.1 Diagnostic precoce, tratament personalizat, monitorizare şi prognostic în oncologie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5.2 Diagnosticul rapid al bolilor infecțioase emergente și rare, identificarea unor markeri moleculari de monitorizare a răspândirii paneuropene</w:t>
      </w:r>
    </w:p>
    <w:p w:rsidR="00CE18DB" w:rsidRPr="00945CCF" w:rsidRDefault="00CE18DB" w:rsidP="00CE18DB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Îmbătrânire sănătoasă, stil de viață şi sănătate publică </w:t>
      </w:r>
    </w:p>
    <w:p w:rsidR="00CE18DB" w:rsidRPr="00945CCF" w:rsidRDefault="00CE18DB" w:rsidP="00CE18DB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Medicină reproductivă, medicină materno-fetala şi perinatală </w:t>
      </w:r>
    </w:p>
    <w:p w:rsidR="00CE18DB" w:rsidRPr="00945CCF" w:rsidRDefault="00CE18DB" w:rsidP="00CE18DB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 xml:space="preserve">Cercetarea bolilor neurodegenerative şi neuroinflamatorii </w:t>
      </w:r>
    </w:p>
    <w:p w:rsidR="00CE18DB" w:rsidRPr="00945CCF" w:rsidRDefault="00CE18DB" w:rsidP="00CE18DB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Studierea si metode de diagnoză și tratament pentru cele mai răspândite cauze de mortalitate şi morbiditate din Romania</w:t>
      </w:r>
    </w:p>
    <w:p w:rsidR="00CE18DB" w:rsidRPr="00945CCF" w:rsidRDefault="00CE18DB" w:rsidP="00CE18DB">
      <w:pPr>
        <w:pStyle w:val="ListParagraph"/>
        <w:numPr>
          <w:ilvl w:val="1"/>
          <w:numId w:val="10"/>
        </w:numPr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Terapie personalizată / de grup şi monitorizare terapeutică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5.8 Personalizarea terapiei medicamentoase pe baza datelor farmacocinetice, farmacogenomice și corelațiilor farmacocinetice-farmacodinamice. Prevenirea rezistenței la chimioterapie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5.9 Evaluarea calităţii şi a riscului utilizării neraționale la nivel populațional a medicamentelor şi suplimentelor alimentare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5.10 Farmacologie şi toxicologie sistemică cantitativă: corelare, modelare şi predicție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  <w:r w:rsidRPr="00945CCF"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  <w:t>5.11 Dezvoltarea de noi substanțe active și medicamente mai bune prin design, formulare și control</w:t>
      </w: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CE18DB" w:rsidRPr="00945CCF" w:rsidRDefault="00CE18DB" w:rsidP="00CE18DB">
      <w:pPr>
        <w:pStyle w:val="ListParagraph"/>
        <w:ind w:left="1440" w:hanging="720"/>
        <w:jc w:val="both"/>
        <w:rPr>
          <w:rFonts w:ascii="Times New Roman" w:hAnsi="Times New Roman"/>
          <w:noProof/>
          <w:color w:val="244061" w:themeColor="accent1" w:themeShade="80"/>
          <w:sz w:val="24"/>
          <w:szCs w:val="24"/>
          <w:lang w:val="ro-RO"/>
        </w:rPr>
      </w:pPr>
    </w:p>
    <w:p w:rsidR="00A1359B" w:rsidRPr="00945CCF" w:rsidRDefault="00A1359B">
      <w:pPr>
        <w:rPr>
          <w:color w:val="244061" w:themeColor="accent1" w:themeShade="80"/>
        </w:rPr>
      </w:pPr>
    </w:p>
    <w:sectPr w:rsidR="00A1359B" w:rsidRPr="0094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7C"/>
    <w:multiLevelType w:val="multilevel"/>
    <w:tmpl w:val="25244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2753FB"/>
    <w:multiLevelType w:val="multilevel"/>
    <w:tmpl w:val="1E70F3C8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130843A1"/>
    <w:multiLevelType w:val="multilevel"/>
    <w:tmpl w:val="1498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">
    <w:nsid w:val="231925E0"/>
    <w:multiLevelType w:val="multilevel"/>
    <w:tmpl w:val="800824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260E2C0E"/>
    <w:multiLevelType w:val="multilevel"/>
    <w:tmpl w:val="AF9CA07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nsid w:val="3C263DC1"/>
    <w:multiLevelType w:val="multilevel"/>
    <w:tmpl w:val="A43ABB1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5CAB5F11"/>
    <w:multiLevelType w:val="hybridMultilevel"/>
    <w:tmpl w:val="C2C807CE"/>
    <w:lvl w:ilvl="0" w:tplc="0409000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C318EE"/>
    <w:multiLevelType w:val="multilevel"/>
    <w:tmpl w:val="C86EB86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>
    <w:nsid w:val="74094A80"/>
    <w:multiLevelType w:val="multilevel"/>
    <w:tmpl w:val="88C20F5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7B912AFA"/>
    <w:multiLevelType w:val="multilevel"/>
    <w:tmpl w:val="C874A4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us Lupulese">
    <w15:presenceInfo w15:providerId="AD" w15:userId="S-1-5-21-3832998949-1221538689-3898372888-1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DB"/>
    <w:rsid w:val="003A1743"/>
    <w:rsid w:val="00945CCF"/>
    <w:rsid w:val="00A1359B"/>
    <w:rsid w:val="00AE0896"/>
    <w:rsid w:val="00C30D1F"/>
    <w:rsid w:val="00CE18DB"/>
    <w:rsid w:val="00F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DB"/>
    <w:pPr>
      <w:spacing w:after="0" w:line="240" w:lineRule="auto"/>
    </w:pPr>
    <w:rPr>
      <w:rFonts w:ascii="Calibri" w:eastAsia="SimSun" w:hAnsi="Calibri" w:cs="Times New Roman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DB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DB"/>
    <w:pPr>
      <w:spacing w:after="0" w:line="240" w:lineRule="auto"/>
    </w:pPr>
    <w:rPr>
      <w:rFonts w:ascii="Calibri" w:eastAsia="SimSun" w:hAnsi="Calibri" w:cs="Times New Roman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DB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Stoica</dc:creator>
  <cp:lastModifiedBy>Hp</cp:lastModifiedBy>
  <cp:revision>2</cp:revision>
  <dcterms:created xsi:type="dcterms:W3CDTF">2020-05-06T14:30:00Z</dcterms:created>
  <dcterms:modified xsi:type="dcterms:W3CDTF">2020-05-06T14:30:00Z</dcterms:modified>
</cp:coreProperties>
</file>